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3DA027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Lines="0" w:after="0" w:afterLines="0" w:line="6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b w:val="0"/>
          <w:bCs/>
          <w:snapToGrid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snapToGrid/>
          <w:sz w:val="32"/>
          <w:szCs w:val="32"/>
          <w:lang w:eastAsia="zh-CN"/>
        </w:rPr>
        <w:t>附件</w:t>
      </w:r>
    </w:p>
    <w:p w14:paraId="4B861055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  <w:lang w:val="en-US" w:eastAsia="zh-CN"/>
        </w:rPr>
      </w:pPr>
      <w:bookmarkStart w:id="0" w:name="_GoBack"/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  <w:lang w:val="en-US" w:eastAsia="zh-CN"/>
        </w:rPr>
        <w:t>省级收费项目清单</w:t>
      </w:r>
      <w:bookmarkEnd w:id="0"/>
    </w:p>
    <w:p w14:paraId="15EA230D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left="0" w:leftChars="0" w:right="0" w:rightChars="0"/>
        <w:textAlignment w:val="auto"/>
        <w:outlineLvl w:val="9"/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  <w:lang w:val="en-US" w:eastAsia="zh-CN"/>
        </w:rPr>
      </w:pP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5"/>
        <w:gridCol w:w="1746"/>
        <w:gridCol w:w="4968"/>
      </w:tblGrid>
      <w:tr w14:paraId="0197C0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50FB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服务项目</w:t>
            </w:r>
          </w:p>
        </w:tc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0BC6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收费项目</w:t>
            </w:r>
          </w:p>
        </w:tc>
        <w:tc>
          <w:tcPr>
            <w:tcW w:w="4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73C9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收费内容及原则</w:t>
            </w:r>
          </w:p>
        </w:tc>
      </w:tr>
      <w:tr w14:paraId="046146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  <w:jc w:val="center"/>
        </w:trPr>
        <w:tc>
          <w:tcPr>
            <w:tcW w:w="180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5614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 w14:paraId="105BE7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基本服务费</w:t>
            </w:r>
          </w:p>
          <w:p w14:paraId="425042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612B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保育费</w:t>
            </w:r>
          </w:p>
        </w:tc>
        <w:tc>
          <w:tcPr>
            <w:tcW w:w="4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19A1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为婴幼儿提供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托育照护服务和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早期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发展指导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服务收取的费用。</w:t>
            </w:r>
          </w:p>
        </w:tc>
      </w:tr>
      <w:tr w14:paraId="46057D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  <w:jc w:val="center"/>
        </w:trPr>
        <w:tc>
          <w:tcPr>
            <w:tcW w:w="180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4A5E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D56B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住宿费</w:t>
            </w:r>
          </w:p>
        </w:tc>
        <w:tc>
          <w:tcPr>
            <w:tcW w:w="4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418B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仅限寄宿制，为婴幼儿提供住宿服务收取的费用。</w:t>
            </w:r>
          </w:p>
        </w:tc>
      </w:tr>
      <w:tr w14:paraId="33F0AF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  <w:jc w:val="center"/>
        </w:trPr>
        <w:tc>
          <w:tcPr>
            <w:tcW w:w="180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A6DE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 w14:paraId="4B24A1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其他服务费</w:t>
            </w:r>
          </w:p>
          <w:p w14:paraId="6B86D3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EFFC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伙食费</w:t>
            </w:r>
          </w:p>
        </w:tc>
        <w:tc>
          <w:tcPr>
            <w:tcW w:w="4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74D9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为婴幼儿提供伙食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（包括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奶粉、辅食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等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）收取的费用。</w:t>
            </w:r>
          </w:p>
        </w:tc>
      </w:tr>
      <w:tr w14:paraId="111510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  <w:jc w:val="center"/>
        </w:trPr>
        <w:tc>
          <w:tcPr>
            <w:tcW w:w="18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0980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28"/>
                <w:szCs w:val="28"/>
                <w:u w:val="none"/>
                <w:lang w:eastAsia="zh-CN"/>
              </w:rPr>
            </w:pPr>
          </w:p>
        </w:tc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550D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6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eastAsia="仿宋_GB2312" w:cs="Times New Roman"/>
                <w:i w:val="0"/>
                <w:color w:val="auto"/>
                <w:sz w:val="28"/>
                <w:szCs w:val="28"/>
                <w:u w:val="none"/>
                <w:lang w:eastAsia="zh-CN"/>
              </w:rPr>
              <w:t>延时服务费</w:t>
            </w:r>
          </w:p>
        </w:tc>
        <w:tc>
          <w:tcPr>
            <w:tcW w:w="4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0440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left"/>
              <w:rPr>
                <w:rFonts w:hint="default" w:ascii="Times New Roman" w:hAnsi="Times New Roman" w:eastAsia="仿宋_GB2312" w:cs="Times New Roman"/>
                <w:i w:val="0"/>
                <w:color w:val="auto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  <w:t>为婴幼儿提供延时服务收费，可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参照全日托</w:t>
            </w:r>
            <w:r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  <w:t>合理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折算确定收费</w:t>
            </w:r>
            <w:r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  <w:t>标准。</w:t>
            </w:r>
          </w:p>
        </w:tc>
      </w:tr>
      <w:tr w14:paraId="77CE1F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  <w:jc w:val="center"/>
        </w:trPr>
        <w:tc>
          <w:tcPr>
            <w:tcW w:w="18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5409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4DFC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eastAsia="仿宋_GB2312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一次性</w:t>
            </w:r>
          </w:p>
          <w:p w14:paraId="169506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材料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费</w:t>
            </w:r>
          </w:p>
        </w:tc>
        <w:tc>
          <w:tcPr>
            <w:tcW w:w="4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FE93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为婴幼儿提供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床上用品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、母婴用品等一次性耗材收取的费用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。</w:t>
            </w:r>
          </w:p>
        </w:tc>
      </w:tr>
      <w:tr w14:paraId="161243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  <w:jc w:val="center"/>
        </w:trPr>
        <w:tc>
          <w:tcPr>
            <w:tcW w:w="18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4311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37FB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eastAsia="仿宋_GB2312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社会活动费</w:t>
            </w:r>
          </w:p>
        </w:tc>
        <w:tc>
          <w:tcPr>
            <w:tcW w:w="4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9188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eastAsia="仿宋_GB2312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在完成正常的托育服务外，为机构内的婴幼儿提供相关亲子活动、社会活动，对应由婴幼儿家长承担的部分费用。</w:t>
            </w:r>
          </w:p>
        </w:tc>
      </w:tr>
      <w:tr w14:paraId="0CE1C7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  <w:jc w:val="center"/>
        </w:trPr>
        <w:tc>
          <w:tcPr>
            <w:tcW w:w="18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8BC6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B2CE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eastAsia="仿宋_GB2312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车辆接送</w:t>
            </w:r>
          </w:p>
          <w:p w14:paraId="7D077C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eastAsia="仿宋_GB2312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服务费</w:t>
            </w:r>
          </w:p>
        </w:tc>
        <w:tc>
          <w:tcPr>
            <w:tcW w:w="4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9F14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eastAsia="仿宋_GB2312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为婴幼儿提供的车辆接送服务费用。</w:t>
            </w:r>
          </w:p>
        </w:tc>
      </w:tr>
    </w:tbl>
    <w:p w14:paraId="764EE762"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leftChars="0" w:firstLine="0" w:firstLineChars="0"/>
        <w:jc w:val="both"/>
        <w:rPr>
          <w:rFonts w:hint="eastAsia" w:ascii="楷体_GB2312" w:hAnsi="楷体_GB2312" w:eastAsia="楷体_GB2312" w:cs="楷体_GB2312"/>
          <w:i w:val="0"/>
          <w:color w:val="auto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楷体_GB2312" w:hAnsi="楷体_GB2312" w:eastAsia="楷体_GB2312" w:cs="楷体_GB2312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说明：其他服务费的收费项目均按照自愿原则，据实结算。</w:t>
      </w:r>
    </w:p>
    <w:p w14:paraId="599E38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eastAsia="仿宋_GB2312" w:cs="Times New Roman"/>
          <w:sz w:val="32"/>
          <w:szCs w:val="32"/>
          <w:lang w:val="en-US" w:eastAsia="zh-CN"/>
        </w:rPr>
      </w:pPr>
    </w:p>
    <w:p w14:paraId="7243A472"/>
    <w:sectPr>
      <w:headerReference r:id="rId3" w:type="default"/>
      <w:footerReference r:id="rId4" w:type="default"/>
      <w:footnotePr>
        <w:numFmt w:val="decimal"/>
      </w:footnote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隶书_GBK">
    <w:altName w:val="隶书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C0C72E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DDC9162"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DOqXm5zwAAAAUBAAAPAAAAAAAAAAEAIAAAACIAAABkcnMvZG93&#10;bnJldi54bWxQSwECFAAUAAAACACHTuJAx6+gK9ABAACkAwAADgAAAAAAAAABACAAAAAe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DDC9162"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E194A2"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hyphenationZone w:val="360"/>
  <w:drawingGridHorizontalSpacing w:val="0"/>
  <w:drawingGridVerticalSpacing w:val="0"/>
  <w:displayHorizontalDrawingGridEvery w:val="1"/>
  <w:displayVerticalDrawingGridEvery w:val="1"/>
  <w:doNotUseMarginsForDrawingGridOrigin w:val="1"/>
  <w:drawingGridHorizontalOrigin w:val="0"/>
  <w:drawingGridVerticalOrigin w:val="0"/>
  <w:noPunctuationKerning w:val="1"/>
  <w:characterSpacingControl w:val="doNotCompress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FED5BA2"/>
    <w:rsid w:val="2F10159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rPr>
      <w:lang w:val="en-US"/>
    </w:rPr>
  </w:style>
  <w:style w:type="paragraph" w:styleId="2">
    <w:name w:val="heading 1"/>
    <w:basedOn w:val="1"/>
    <w:next w:val="1"/>
    <w:uiPriority w:val="0"/>
    <w:pPr>
      <w:keepNext/>
      <w:spacing w:before="240" w:beforeLines="0" w:after="60" w:afterLines="0"/>
      <w:outlineLvl w:val="0"/>
    </w:pPr>
    <w:rPr>
      <w:rFonts w:ascii="Arial" w:hAnsi="Arial"/>
      <w:b/>
      <w:kern w:val="28"/>
      <w:sz w:val="28"/>
    </w:rPr>
  </w:style>
  <w:style w:type="paragraph" w:styleId="3">
    <w:name w:val="heading 2"/>
    <w:basedOn w:val="1"/>
    <w:next w:val="1"/>
    <w:uiPriority w:val="0"/>
    <w:pPr>
      <w:keepNext/>
      <w:spacing w:before="240" w:beforeLines="0" w:after="60" w:afterLines="0"/>
      <w:outlineLvl w:val="1"/>
    </w:pPr>
    <w:rPr>
      <w:rFonts w:ascii="Arial" w:hAnsi="Arial"/>
      <w:b/>
      <w:i/>
    </w:rPr>
  </w:style>
  <w:style w:type="paragraph" w:styleId="4">
    <w:name w:val="heading 3"/>
    <w:basedOn w:val="1"/>
    <w:next w:val="1"/>
    <w:uiPriority w:val="0"/>
    <w:pPr>
      <w:keepNext/>
      <w:spacing w:before="240" w:beforeLines="0" w:after="60" w:afterLines="0"/>
      <w:outlineLvl w:val="2"/>
    </w:pPr>
    <w:rPr>
      <w:b/>
    </w:rPr>
  </w:style>
  <w:style w:type="character" w:default="1" w:styleId="10">
    <w:name w:val="Default Paragraph Font"/>
    <w:uiPriority w:val="0"/>
  </w:style>
  <w:style w:type="table" w:default="1" w:styleId="9">
    <w:name w:val="Normal Table"/>
    <w:semiHidden/>
    <w:qFormat/>
    <w:uiPriority w:val="0"/>
    <w:tblPr>
      <w:tblStyle w:val="9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uiPriority w:val="0"/>
    <w:pPr>
      <w:widowControl/>
      <w:jc w:val="center"/>
    </w:pPr>
    <w:rPr>
      <w:rFonts w:hint="eastAsia" w:ascii="宋体" w:hAnsi="宋体"/>
      <w:b/>
      <w:kern w:val="0"/>
      <w:sz w:val="32"/>
      <w:szCs w:val="36"/>
    </w:r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8">
    <w:name w:val="Normal (Web)"/>
    <w:basedOn w:val="1"/>
    <w:uiPriority w:val="0"/>
    <w:pPr>
      <w:spacing w:before="100" w:beforeLines="0" w:beforeAutospacing="1" w:after="100" w:afterLines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3343</Words>
  <Characters>3376</Characters>
  <Lines>0</Lines>
  <Paragraphs>0</Paragraphs>
  <TotalTime>4.33333333333333</TotalTime>
  <ScaleCrop>false</ScaleCrop>
  <LinksUpToDate>false</LinksUpToDate>
  <CharactersWithSpaces>3436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2025-10-27T11:53:50Z</dcterms:created>
  <dc:creator>bgt</dc:creator>
  <cp:lastModifiedBy>风</cp:lastModifiedBy>
  <cp:lastPrinted>2025-10-29T09:12:08Z</cp:lastPrinted>
  <dcterms:modified xsi:type="dcterms:W3CDTF">2025-11-18T07:38:00Z</dcterms:modified>
  <dc:title>广东省发展改革委 广东省教育厅 广东省卫生健康委关于进一步完善价格形成机制 支持普惠托育服务体系建设的通知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eyJoZGlkIjoiYmY5MjFlZTA4YWQzODNhNjgxNGE3MWU0MWFjMmQ2MjEiLCJ1c2VySWQiOiI3MjU1MTU3NzIifQ==</vt:lpwstr>
  </property>
  <property fmtid="{D5CDD505-2E9C-101B-9397-08002B2CF9AE}" pid="4" name="ICV">
    <vt:lpwstr>E482D4A458B44FDD8BE9B8E0224DEE7A_13</vt:lpwstr>
  </property>
</Properties>
</file>