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default" w:ascii="Times New Roman" w:hAnsi="Times New Roman" w:eastAsia="黑体" w:cs="Times New Roman"/>
          <w:sz w:val="32"/>
          <w:szCs w:val="32"/>
          <w:lang w:val="en-US" w:eastAsia="zh-CN"/>
        </w:rPr>
      </w:pPr>
      <w:bookmarkStart w:id="0" w:name="_GoBack"/>
      <w:bookmarkEnd w:id="0"/>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4</w:t>
      </w:r>
    </w:p>
    <w:p>
      <w:pPr>
        <w:widowControl/>
        <w:spacing w:line="600" w:lineRule="exact"/>
        <w:jc w:val="center"/>
        <w:rPr>
          <w:rFonts w:hint="eastAsia" w:eastAsia="方正小标宋简体" w:cs="方正小标宋简体"/>
          <w:sz w:val="44"/>
          <w:szCs w:val="44"/>
        </w:rPr>
      </w:pPr>
      <w:r>
        <w:rPr>
          <w:rFonts w:hint="eastAsia" w:eastAsia="方正小标宋简体" w:cs="方正小标宋简体"/>
          <w:sz w:val="44"/>
          <w:szCs w:val="44"/>
        </w:rPr>
        <w:t>广东省车用尿素水溶液产品质量监督抽查</w:t>
      </w:r>
    </w:p>
    <w:p>
      <w:pPr>
        <w:widowControl/>
        <w:spacing w:line="600" w:lineRule="exact"/>
        <w:jc w:val="center"/>
        <w:rPr>
          <w:rFonts w:eastAsia="方正小标宋简体" w:cs="方正小标宋简体"/>
          <w:sz w:val="44"/>
          <w:szCs w:val="44"/>
        </w:rPr>
      </w:pPr>
      <w:r>
        <w:rPr>
          <w:rFonts w:hint="eastAsia" w:eastAsia="方正小标宋简体" w:cs="方正小标宋简体"/>
          <w:sz w:val="44"/>
          <w:szCs w:val="44"/>
        </w:rPr>
        <w:t>实施细则</w:t>
      </w:r>
    </w:p>
    <w:p>
      <w:pPr>
        <w:adjustRightInd w:val="0"/>
        <w:snapToGrid w:val="0"/>
        <w:spacing w:line="600" w:lineRule="exact"/>
        <w:jc w:val="center"/>
        <w:rPr>
          <w:rFonts w:eastAsia="方正小标宋简体" w:cs="方正仿宋简体"/>
          <w:color w:val="000000"/>
          <w:szCs w:val="32"/>
        </w:rPr>
      </w:pP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spacing w:line="600" w:lineRule="exact"/>
        <w:ind w:firstLine="640" w:firstLineChars="200"/>
        <w:rPr>
          <w:rFonts w:cs="仿宋_GB2312"/>
          <w:color w:val="000000"/>
          <w:sz w:val="32"/>
          <w:szCs w:val="32"/>
        </w:rPr>
      </w:pPr>
      <w:r>
        <w:rPr>
          <w:rFonts w:hint="eastAsia" w:cs="仿宋_GB2312"/>
          <w:color w:val="000000"/>
          <w:sz w:val="32"/>
          <w:szCs w:val="32"/>
        </w:rPr>
        <w:t>以随机抽样的方式在被抽样经营者的待销产品中抽取。</w:t>
      </w:r>
    </w:p>
    <w:p>
      <w:pPr>
        <w:spacing w:line="600" w:lineRule="exact"/>
        <w:ind w:firstLine="640" w:firstLineChars="200"/>
        <w:rPr>
          <w:rFonts w:cs="仿宋_GB2312"/>
          <w:color w:val="000000"/>
          <w:sz w:val="32"/>
          <w:szCs w:val="32"/>
        </w:rPr>
      </w:pPr>
      <w:r>
        <w:rPr>
          <w:rFonts w:hint="eastAsia" w:cs="仿宋_GB2312"/>
          <w:color w:val="000000"/>
          <w:sz w:val="32"/>
          <w:szCs w:val="32"/>
        </w:rPr>
        <w:t>随机数一般可使用随机数表等方法产生。</w:t>
      </w:r>
    </w:p>
    <w:p>
      <w:pPr>
        <w:spacing w:line="600" w:lineRule="exact"/>
        <w:ind w:firstLine="640" w:firstLineChars="200"/>
        <w:rPr>
          <w:rFonts w:cs="仿宋_GB2312"/>
          <w:color w:val="000000"/>
          <w:sz w:val="32"/>
          <w:szCs w:val="32"/>
        </w:rPr>
      </w:pPr>
      <w:r>
        <w:rPr>
          <w:rFonts w:hint="eastAsia" w:cs="仿宋_GB2312"/>
          <w:color w:val="000000"/>
          <w:sz w:val="32"/>
          <w:szCs w:val="32"/>
        </w:rPr>
        <w:t>抽查数量：每款产品抽取2组独立包装的样本，第1组用于检验，第2组用于备样。每组样本数量不少于2L。</w:t>
      </w:r>
    </w:p>
    <w:p>
      <w:pPr>
        <w:spacing w:line="600" w:lineRule="exact"/>
        <w:ind w:firstLine="640" w:firstLineChars="200"/>
        <w:rPr>
          <w:rFonts w:cs="仿宋_GB2312"/>
          <w:color w:val="000000"/>
          <w:sz w:val="32"/>
          <w:szCs w:val="32"/>
        </w:rPr>
      </w:pPr>
      <w:r>
        <w:rPr>
          <w:rFonts w:hint="eastAsia" w:cs="仿宋_GB2312"/>
          <w:color w:val="000000"/>
          <w:sz w:val="32"/>
          <w:szCs w:val="32"/>
        </w:rPr>
        <w:t>抽样方法如下：</w:t>
      </w:r>
      <w:r>
        <w:rPr>
          <w:rFonts w:cs="仿宋_GB2312"/>
          <w:color w:val="000000"/>
          <w:sz w:val="32"/>
          <w:szCs w:val="32"/>
        </w:rPr>
        <w:t>按产品独立包装直接抽取</w:t>
      </w:r>
      <w:r>
        <w:rPr>
          <w:rFonts w:hint="eastAsia" w:cs="仿宋_GB2312"/>
          <w:color w:val="000000"/>
          <w:sz w:val="32"/>
          <w:szCs w:val="32"/>
        </w:rPr>
        <w:t>。</w:t>
      </w:r>
      <w:r>
        <w:rPr>
          <w:rFonts w:cs="仿宋_GB2312"/>
          <w:color w:val="000000"/>
          <w:sz w:val="32"/>
          <w:szCs w:val="32"/>
        </w:rPr>
        <w:t>其中将快速检测时取样后剩余的包装</w:t>
      </w:r>
      <w:r>
        <w:rPr>
          <w:rFonts w:hint="eastAsia" w:cs="仿宋_GB2312"/>
          <w:color w:val="000000"/>
          <w:sz w:val="32"/>
          <w:szCs w:val="32"/>
        </w:rPr>
        <w:t>样本</w:t>
      </w:r>
      <w:r>
        <w:rPr>
          <w:rFonts w:cs="仿宋_GB2312"/>
          <w:color w:val="000000"/>
          <w:sz w:val="32"/>
          <w:szCs w:val="32"/>
        </w:rPr>
        <w:t>作为</w:t>
      </w:r>
      <w:r>
        <w:rPr>
          <w:rFonts w:hint="eastAsia" w:cs="仿宋_GB2312"/>
          <w:color w:val="000000"/>
          <w:sz w:val="32"/>
          <w:szCs w:val="32"/>
        </w:rPr>
        <w:t>检样，另外抽取1组与检样相同生产批次的样本作为备样。将抽取的样品密封，贴上样品标签，加封封条，检样由抽样人员带回承检机构，备样封存于被抽样市场主体。</w:t>
      </w: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3"/>
        <w:tblW w:w="88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350"/>
        <w:gridCol w:w="2727"/>
        <w:gridCol w:w="2149"/>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blHeader/>
          <w:jc w:val="center"/>
        </w:trPr>
        <w:tc>
          <w:tcPr>
            <w:tcW w:w="643" w:type="dxa"/>
            <w:noWrap w:val="0"/>
            <w:vAlign w:val="center"/>
          </w:tcPr>
          <w:p>
            <w:pPr>
              <w:snapToGrid w:val="0"/>
              <w:spacing w:line="280" w:lineRule="exact"/>
              <w:jc w:val="center"/>
              <w:rPr>
                <w:rFonts w:eastAsia="宋体"/>
                <w:b/>
                <w:bCs/>
                <w:sz w:val="21"/>
                <w:szCs w:val="21"/>
              </w:rPr>
            </w:pPr>
            <w:r>
              <w:rPr>
                <w:rFonts w:eastAsia="宋体"/>
                <w:b/>
                <w:bCs/>
                <w:sz w:val="21"/>
                <w:szCs w:val="21"/>
              </w:rPr>
              <w:t>序号</w:t>
            </w:r>
          </w:p>
        </w:tc>
        <w:tc>
          <w:tcPr>
            <w:tcW w:w="3077" w:type="dxa"/>
            <w:gridSpan w:val="2"/>
            <w:noWrap w:val="0"/>
            <w:vAlign w:val="center"/>
          </w:tcPr>
          <w:p>
            <w:pPr>
              <w:snapToGrid w:val="0"/>
              <w:spacing w:line="280" w:lineRule="exact"/>
              <w:jc w:val="center"/>
              <w:rPr>
                <w:rFonts w:eastAsia="宋体"/>
                <w:b/>
                <w:bCs/>
                <w:sz w:val="21"/>
                <w:szCs w:val="21"/>
              </w:rPr>
            </w:pPr>
            <w:r>
              <w:rPr>
                <w:rFonts w:eastAsia="宋体"/>
                <w:b/>
                <w:bCs/>
                <w:sz w:val="21"/>
                <w:szCs w:val="21"/>
              </w:rPr>
              <w:t>检验项目</w:t>
            </w:r>
          </w:p>
        </w:tc>
        <w:tc>
          <w:tcPr>
            <w:tcW w:w="2149" w:type="dxa"/>
            <w:noWrap w:val="0"/>
            <w:vAlign w:val="center"/>
          </w:tcPr>
          <w:p>
            <w:pPr>
              <w:snapToGrid w:val="0"/>
              <w:spacing w:line="280" w:lineRule="exact"/>
              <w:jc w:val="center"/>
              <w:rPr>
                <w:rFonts w:eastAsia="宋体"/>
                <w:b/>
                <w:bCs/>
                <w:sz w:val="21"/>
                <w:szCs w:val="21"/>
              </w:rPr>
            </w:pPr>
            <w:r>
              <w:rPr>
                <w:rFonts w:eastAsia="宋体"/>
                <w:b/>
                <w:bCs/>
                <w:sz w:val="21"/>
                <w:szCs w:val="21"/>
              </w:rPr>
              <w:t>检验方法</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强制性</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非强制性</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重要项</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较重要项</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1</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尿素含量</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18"/>
                <w:szCs w:val="18"/>
              </w:rPr>
              <w:t>GB 29518-2013 附录A</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c>
          <w:tcPr>
            <w:tcW w:w="604" w:type="dxa"/>
            <w:noWrap w:val="0"/>
            <w:vAlign w:val="center"/>
          </w:tcPr>
          <w:p>
            <w:pPr>
              <w:widowControl/>
              <w:snapToGrid w:val="0"/>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2</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密度（20℃）</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SH/T 0604-2000</w:t>
            </w:r>
          </w:p>
          <w:p>
            <w:pPr>
              <w:widowControl/>
              <w:spacing w:line="280" w:lineRule="exact"/>
              <w:jc w:val="center"/>
              <w:rPr>
                <w:rFonts w:eastAsia="宋体"/>
                <w:kern w:val="0"/>
                <w:sz w:val="20"/>
                <w:szCs w:val="20"/>
              </w:rPr>
            </w:pPr>
            <w:r>
              <w:rPr>
                <w:rFonts w:eastAsia="宋体"/>
                <w:kern w:val="0"/>
                <w:sz w:val="20"/>
                <w:szCs w:val="20"/>
              </w:rPr>
              <w:t>GB/T</w:t>
            </w:r>
            <w:r>
              <w:rPr>
                <w:rFonts w:hint="eastAsia" w:eastAsia="宋体"/>
                <w:kern w:val="0"/>
                <w:sz w:val="20"/>
                <w:szCs w:val="20"/>
              </w:rPr>
              <w:t xml:space="preserve"> </w:t>
            </w:r>
            <w:r>
              <w:rPr>
                <w:rFonts w:eastAsia="宋体"/>
                <w:kern w:val="0"/>
                <w:sz w:val="20"/>
                <w:szCs w:val="20"/>
              </w:rPr>
              <w:t>1884-2000</w:t>
            </w:r>
          </w:p>
          <w:p>
            <w:pPr>
              <w:widowControl/>
              <w:spacing w:line="280" w:lineRule="exact"/>
              <w:jc w:val="center"/>
              <w:rPr>
                <w:rFonts w:eastAsia="宋体"/>
                <w:kern w:val="0"/>
                <w:sz w:val="20"/>
                <w:szCs w:val="20"/>
              </w:rPr>
            </w:pPr>
            <w:r>
              <w:rPr>
                <w:rFonts w:eastAsia="宋体"/>
                <w:kern w:val="0"/>
                <w:sz w:val="20"/>
                <w:szCs w:val="20"/>
              </w:rPr>
              <w:t>GB/T</w:t>
            </w:r>
            <w:r>
              <w:rPr>
                <w:rFonts w:hint="eastAsia" w:eastAsia="宋体"/>
                <w:kern w:val="0"/>
                <w:sz w:val="20"/>
                <w:szCs w:val="20"/>
              </w:rPr>
              <w:t xml:space="preserve"> </w:t>
            </w:r>
            <w:r>
              <w:rPr>
                <w:rFonts w:eastAsia="宋体"/>
                <w:kern w:val="0"/>
                <w:sz w:val="20"/>
                <w:szCs w:val="20"/>
              </w:rPr>
              <w:t>1885- 1998</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3</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折光率</w:t>
            </w:r>
            <w:r>
              <w:rPr>
                <w:rFonts w:eastAsia="宋体"/>
                <w:sz w:val="21"/>
                <w:szCs w:val="21"/>
                <w:vertAlign w:val="superscript"/>
              </w:rPr>
              <w:t>20</w:t>
            </w:r>
            <w:r>
              <w:rPr>
                <w:rFonts w:eastAsia="宋体"/>
                <w:sz w:val="24"/>
              </w:rPr>
              <w:t>n</w:t>
            </w:r>
            <w:r>
              <w:rPr>
                <w:rFonts w:eastAsia="宋体"/>
                <w:sz w:val="21"/>
                <w:szCs w:val="21"/>
                <w:vertAlign w:val="subscript"/>
              </w:rPr>
              <w:t>D</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GB/T 614-20</w:t>
            </w:r>
            <w:r>
              <w:rPr>
                <w:rFonts w:hint="eastAsia" w:eastAsia="宋体"/>
                <w:kern w:val="0"/>
                <w:sz w:val="20"/>
                <w:szCs w:val="20"/>
              </w:rPr>
              <w:t>21</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restart"/>
            <w:noWrap w:val="0"/>
            <w:vAlign w:val="center"/>
          </w:tcPr>
          <w:p>
            <w:pPr>
              <w:widowControl/>
              <w:spacing w:line="280" w:lineRule="exact"/>
              <w:jc w:val="center"/>
              <w:rPr>
                <w:rFonts w:eastAsia="宋体"/>
                <w:sz w:val="21"/>
                <w:szCs w:val="21"/>
              </w:rPr>
            </w:pPr>
            <w:r>
              <w:rPr>
                <w:rFonts w:eastAsia="宋体"/>
                <w:sz w:val="21"/>
                <w:szCs w:val="21"/>
              </w:rPr>
              <w:t>4</w:t>
            </w:r>
          </w:p>
        </w:tc>
        <w:tc>
          <w:tcPr>
            <w:tcW w:w="350" w:type="dxa"/>
            <w:vMerge w:val="restart"/>
            <w:noWrap w:val="0"/>
            <w:vAlign w:val="center"/>
          </w:tcPr>
          <w:p>
            <w:pPr>
              <w:widowControl/>
              <w:spacing w:line="280" w:lineRule="exact"/>
              <w:jc w:val="center"/>
              <w:rPr>
                <w:rFonts w:eastAsia="宋体"/>
                <w:sz w:val="21"/>
                <w:szCs w:val="21"/>
              </w:rPr>
            </w:pPr>
            <w:r>
              <w:rPr>
                <w:rFonts w:eastAsia="宋体"/>
                <w:sz w:val="21"/>
                <w:szCs w:val="21"/>
              </w:rPr>
              <w:t>杂质含量</w:t>
            </w:r>
          </w:p>
        </w:tc>
        <w:tc>
          <w:tcPr>
            <w:tcW w:w="2727" w:type="dxa"/>
            <w:noWrap w:val="0"/>
            <w:vAlign w:val="center"/>
          </w:tcPr>
          <w:p>
            <w:pPr>
              <w:widowControl/>
              <w:spacing w:line="280" w:lineRule="exact"/>
              <w:jc w:val="center"/>
              <w:rPr>
                <w:rFonts w:eastAsia="宋体"/>
                <w:sz w:val="21"/>
                <w:szCs w:val="21"/>
              </w:rPr>
            </w:pPr>
            <w:r>
              <w:rPr>
                <w:rFonts w:eastAsia="宋体"/>
                <w:sz w:val="21"/>
                <w:szCs w:val="21"/>
              </w:rPr>
              <w:t>碱度（以NH</w:t>
            </w:r>
            <w:r>
              <w:rPr>
                <w:rFonts w:eastAsia="宋体"/>
                <w:sz w:val="21"/>
                <w:szCs w:val="21"/>
                <w:vertAlign w:val="subscript"/>
              </w:rPr>
              <w:t>3</w:t>
            </w:r>
            <w:r>
              <w:rPr>
                <w:rFonts w:eastAsia="宋体"/>
                <w:sz w:val="21"/>
                <w:szCs w:val="21"/>
              </w:rPr>
              <w:t>计）</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29518-2013附录B</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280" w:lineRule="exact"/>
              <w:jc w:val="center"/>
              <w:rPr>
                <w:rFonts w:eastAsia="宋体"/>
                <w:sz w:val="21"/>
                <w:szCs w:val="21"/>
              </w:rPr>
            </w:pPr>
          </w:p>
        </w:tc>
        <w:tc>
          <w:tcPr>
            <w:tcW w:w="350" w:type="dxa"/>
            <w:vMerge w:val="continue"/>
            <w:noWrap w:val="0"/>
            <w:vAlign w:val="center"/>
          </w:tcPr>
          <w:p>
            <w:pPr>
              <w:widowControl/>
              <w:spacing w:line="280" w:lineRule="exact"/>
              <w:jc w:val="center"/>
              <w:rPr>
                <w:rFonts w:eastAsia="宋体"/>
                <w:sz w:val="21"/>
                <w:szCs w:val="21"/>
              </w:rPr>
            </w:pPr>
          </w:p>
        </w:tc>
        <w:tc>
          <w:tcPr>
            <w:tcW w:w="2727" w:type="dxa"/>
            <w:noWrap w:val="0"/>
            <w:vAlign w:val="center"/>
          </w:tcPr>
          <w:p>
            <w:pPr>
              <w:widowControl/>
              <w:spacing w:line="280" w:lineRule="exact"/>
              <w:jc w:val="center"/>
              <w:rPr>
                <w:rFonts w:eastAsia="宋体"/>
                <w:sz w:val="21"/>
                <w:szCs w:val="21"/>
              </w:rPr>
            </w:pPr>
            <w:r>
              <w:rPr>
                <w:rFonts w:eastAsia="宋体"/>
                <w:sz w:val="21"/>
                <w:szCs w:val="21"/>
              </w:rPr>
              <w:t>缩二脲</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29518-2013附录C</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280" w:lineRule="exact"/>
              <w:jc w:val="center"/>
              <w:rPr>
                <w:rFonts w:eastAsia="宋体"/>
                <w:sz w:val="21"/>
                <w:szCs w:val="21"/>
              </w:rPr>
            </w:pPr>
          </w:p>
        </w:tc>
        <w:tc>
          <w:tcPr>
            <w:tcW w:w="350" w:type="dxa"/>
            <w:vMerge w:val="continue"/>
            <w:noWrap w:val="0"/>
            <w:vAlign w:val="center"/>
          </w:tcPr>
          <w:p>
            <w:pPr>
              <w:widowControl/>
              <w:spacing w:line="280" w:lineRule="exact"/>
              <w:jc w:val="center"/>
              <w:rPr>
                <w:rFonts w:eastAsia="宋体"/>
                <w:sz w:val="21"/>
                <w:szCs w:val="21"/>
              </w:rPr>
            </w:pPr>
          </w:p>
        </w:tc>
        <w:tc>
          <w:tcPr>
            <w:tcW w:w="2727" w:type="dxa"/>
            <w:noWrap w:val="0"/>
            <w:vAlign w:val="center"/>
          </w:tcPr>
          <w:p>
            <w:pPr>
              <w:widowControl/>
              <w:spacing w:line="280" w:lineRule="exact"/>
              <w:jc w:val="center"/>
              <w:rPr>
                <w:rFonts w:eastAsia="宋体"/>
                <w:sz w:val="21"/>
                <w:szCs w:val="21"/>
              </w:rPr>
            </w:pPr>
            <w:r>
              <w:rPr>
                <w:rFonts w:eastAsia="宋体"/>
                <w:sz w:val="21"/>
                <w:szCs w:val="21"/>
              </w:rPr>
              <w:t>醛类（以HCHO计）</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29518-2013附录D</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不溶物</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29518-2013附录E</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磷酸盐（以PO</w:t>
            </w:r>
            <w:r>
              <w:rPr>
                <w:rFonts w:eastAsia="宋体"/>
                <w:sz w:val="21"/>
                <w:szCs w:val="21"/>
                <w:vertAlign w:val="subscript"/>
              </w:rPr>
              <w:t>4</w:t>
            </w:r>
            <w:r>
              <w:rPr>
                <w:rFonts w:eastAsia="宋体"/>
                <w:sz w:val="21"/>
                <w:szCs w:val="21"/>
              </w:rPr>
              <w:t>计）</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29518-2013附录F</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钙</w:t>
            </w:r>
          </w:p>
        </w:tc>
        <w:tc>
          <w:tcPr>
            <w:tcW w:w="2149" w:type="dxa"/>
            <w:vMerge w:val="restart"/>
            <w:noWrap w:val="0"/>
            <w:vAlign w:val="center"/>
          </w:tcPr>
          <w:p>
            <w:pPr>
              <w:widowControl/>
              <w:spacing w:line="320" w:lineRule="exact"/>
              <w:jc w:val="center"/>
              <w:rPr>
                <w:rFonts w:eastAsia="宋体"/>
                <w:kern w:val="0"/>
                <w:sz w:val="20"/>
                <w:szCs w:val="20"/>
              </w:rPr>
            </w:pPr>
            <w:r>
              <w:rPr>
                <w:rFonts w:eastAsia="宋体"/>
                <w:kern w:val="0"/>
                <w:sz w:val="20"/>
                <w:szCs w:val="20"/>
              </w:rPr>
              <w:t>GB 29518-2013附录G</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铁</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铜</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锌</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铬</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镍</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铝</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镁</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钠</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钾</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320" w:lineRule="exact"/>
              <w:jc w:val="center"/>
              <w:rPr>
                <w:rFonts w:eastAsia="宋体"/>
                <w:sz w:val="21"/>
                <w:szCs w:val="21"/>
              </w:rPr>
            </w:pPr>
            <w:r>
              <w:rPr>
                <w:rFonts w:eastAsia="宋体"/>
                <w:sz w:val="21"/>
                <w:szCs w:val="21"/>
              </w:rPr>
              <w:t>5</w:t>
            </w:r>
          </w:p>
        </w:tc>
        <w:tc>
          <w:tcPr>
            <w:tcW w:w="3077" w:type="dxa"/>
            <w:gridSpan w:val="2"/>
            <w:noWrap w:val="0"/>
            <w:vAlign w:val="center"/>
          </w:tcPr>
          <w:p>
            <w:pPr>
              <w:widowControl/>
              <w:spacing w:line="320" w:lineRule="exact"/>
              <w:jc w:val="center"/>
              <w:rPr>
                <w:rFonts w:eastAsia="宋体"/>
                <w:sz w:val="21"/>
                <w:szCs w:val="21"/>
              </w:rPr>
            </w:pPr>
            <w:r>
              <w:rPr>
                <w:rFonts w:eastAsia="宋体"/>
                <w:sz w:val="21"/>
                <w:szCs w:val="21"/>
              </w:rPr>
              <w:t>一致性确认</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29518-2013附录H</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p>
        </w:tc>
      </w:tr>
    </w:tbl>
    <w:p>
      <w:pPr>
        <w:adjustRightInd w:val="0"/>
        <w:snapToGrid w:val="0"/>
        <w:spacing w:line="560" w:lineRule="exact"/>
        <w:ind w:firstLine="480" w:firstLineChars="200"/>
        <w:jc w:val="left"/>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adjustRightInd w:val="0"/>
        <w:snapToGrid w:val="0"/>
        <w:spacing w:line="560" w:lineRule="exact"/>
        <w:ind w:firstLine="480" w:firstLineChars="200"/>
        <w:jc w:val="left"/>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eastAsia="黑体" w:cs="黑体"/>
          <w:sz w:val="32"/>
          <w:szCs w:val="32"/>
        </w:rPr>
      </w:pPr>
      <w:r>
        <w:rPr>
          <w:rFonts w:hint="eastAsia" w:eastAsia="黑体" w:cs="黑体"/>
          <w:sz w:val="32"/>
          <w:szCs w:val="32"/>
        </w:rPr>
        <w:t>三、判定规则</w:t>
      </w:r>
    </w:p>
    <w:p>
      <w:pPr>
        <w:spacing w:line="600" w:lineRule="exact"/>
        <w:ind w:firstLine="640" w:firstLineChars="200"/>
        <w:jc w:val="left"/>
        <w:rPr>
          <w:rFonts w:eastAsia="楷体_GB2312" w:cs="楷体_GB2312"/>
          <w:sz w:val="32"/>
          <w:szCs w:val="32"/>
        </w:rPr>
      </w:pPr>
      <w:r>
        <w:rPr>
          <w:rFonts w:hint="eastAsia" w:eastAsia="楷体_GB2312" w:cs="楷体_GB2312"/>
          <w:sz w:val="32"/>
          <w:szCs w:val="32"/>
        </w:rPr>
        <w:t>（一）依据标准</w:t>
      </w:r>
    </w:p>
    <w:p>
      <w:pPr>
        <w:spacing w:line="600" w:lineRule="exact"/>
        <w:ind w:firstLine="640" w:firstLineChars="200"/>
        <w:rPr>
          <w:sz w:val="32"/>
          <w:szCs w:val="32"/>
        </w:rPr>
      </w:pPr>
      <w:r>
        <w:rPr>
          <w:rFonts w:hint="eastAsia"/>
          <w:sz w:val="32"/>
          <w:szCs w:val="32"/>
        </w:rPr>
        <w:t>GB 29518-2013 柴油发动机氮氧化物还原剂 尿素水溶液（AUS32）</w:t>
      </w:r>
    </w:p>
    <w:p>
      <w:pPr>
        <w:spacing w:line="600" w:lineRule="exact"/>
        <w:ind w:firstLine="640" w:firstLineChars="200"/>
        <w:rPr>
          <w:sz w:val="32"/>
          <w:szCs w:val="32"/>
        </w:rPr>
      </w:pPr>
      <w:r>
        <w:rPr>
          <w:rFonts w:hint="eastAsia"/>
          <w:sz w:val="32"/>
          <w:szCs w:val="32"/>
        </w:rPr>
        <w:t>现行有效的企业标准、团体标准、地方标准及产品明示质量要求</w:t>
      </w:r>
    </w:p>
    <w:p>
      <w:pPr>
        <w:spacing w:line="600" w:lineRule="exact"/>
        <w:ind w:firstLine="640" w:firstLineChars="200"/>
        <w:jc w:val="left"/>
        <w:rPr>
          <w:rFonts w:eastAsia="楷体_GB2312" w:cs="楷体_GB2312"/>
          <w:sz w:val="32"/>
          <w:szCs w:val="32"/>
        </w:rPr>
      </w:pPr>
      <w:r>
        <w:rPr>
          <w:rFonts w:hint="eastAsia" w:eastAsia="楷体_GB2312" w:cs="楷体_GB2312"/>
          <w:sz w:val="32"/>
          <w:szCs w:val="32"/>
        </w:rPr>
        <w:t>（二）判定原则</w:t>
      </w:r>
    </w:p>
    <w:p>
      <w:pPr>
        <w:spacing w:line="600" w:lineRule="exact"/>
        <w:ind w:firstLine="640" w:firstLineChars="200"/>
        <w:rPr>
          <w:sz w:val="32"/>
          <w:szCs w:val="32"/>
        </w:rPr>
      </w:pPr>
      <w:r>
        <w:rPr>
          <w:rFonts w:hint="eastAsia"/>
          <w:sz w:val="32"/>
          <w:szCs w:val="32"/>
        </w:rPr>
        <w:t>经检验，检验项目全部合格，判定为抽取的样本所检项目未检出不合格；检验项目中任一项或一项以上不合格，判定为被抽查产品不合格。</w:t>
      </w:r>
    </w:p>
    <w:p>
      <w:pPr>
        <w:spacing w:line="600" w:lineRule="exact"/>
        <w:ind w:firstLine="640" w:firstLineChars="200"/>
        <w:rPr>
          <w:sz w:val="32"/>
          <w:szCs w:val="32"/>
        </w:rPr>
      </w:pPr>
      <w:r>
        <w:rPr>
          <w:rFonts w:hint="eastAsia"/>
          <w:sz w:val="32"/>
          <w:szCs w:val="32"/>
        </w:rPr>
        <w:t>当被检样品明示的质量要求优于监督抽查实施细则中依据的标准要求时，应按被检样品明示的质量要求判定；</w:t>
      </w:r>
    </w:p>
    <w:p>
      <w:pPr>
        <w:spacing w:line="600" w:lineRule="exact"/>
        <w:ind w:firstLine="640" w:firstLineChars="200"/>
        <w:rPr>
          <w:sz w:val="32"/>
          <w:szCs w:val="32"/>
        </w:rPr>
      </w:pPr>
      <w:r>
        <w:rPr>
          <w:rFonts w:hint="eastAsia"/>
          <w:sz w:val="32"/>
          <w:szCs w:val="32"/>
        </w:rPr>
        <w:t>当被检样品明示的质量要求劣于或不包含监督抽查实施细则中依据的强制性标准要求时，应按照强制性标准要求判定；</w:t>
      </w:r>
    </w:p>
    <w:p>
      <w:pPr>
        <w:spacing w:line="600" w:lineRule="exact"/>
        <w:ind w:firstLine="640" w:firstLineChars="200"/>
        <w:rPr>
          <w:sz w:val="32"/>
          <w:szCs w:val="32"/>
        </w:rPr>
      </w:pPr>
      <w:r>
        <w:rPr>
          <w:rFonts w:hint="eastAsia"/>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spacing w:line="600" w:lineRule="exact"/>
        <w:ind w:firstLine="640" w:firstLineChars="200"/>
        <w:rPr>
          <w:sz w:val="32"/>
          <w:szCs w:val="32"/>
        </w:rPr>
      </w:pPr>
      <w:r>
        <w:rPr>
          <w:rFonts w:hint="eastAsia"/>
          <w:sz w:val="32"/>
          <w:szCs w:val="32"/>
        </w:rPr>
        <w:t>当被检样品明示的质量要求不包含监督抽查实施细则中依据的推荐性标准要求时，该指标不参与判定，但应在检验报告中作出说明；</w:t>
      </w:r>
    </w:p>
    <w:p>
      <w:pPr>
        <w:spacing w:line="600" w:lineRule="exact"/>
        <w:ind w:firstLine="640" w:firstLineChars="200"/>
        <w:rPr>
          <w:sz w:val="32"/>
          <w:szCs w:val="32"/>
        </w:rPr>
      </w:pPr>
      <w:r>
        <w:rPr>
          <w:rFonts w:hint="eastAsia"/>
          <w:sz w:val="32"/>
          <w:szCs w:val="32"/>
        </w:rPr>
        <w:t>当被检样品未能提供有效的企业标准时，按相关国家或行业标准进行判定；</w:t>
      </w:r>
    </w:p>
    <w:p>
      <w:pPr>
        <w:spacing w:line="600" w:lineRule="exact"/>
        <w:ind w:firstLine="640" w:firstLineChars="200"/>
        <w:rPr>
          <w:sz w:val="32"/>
          <w:szCs w:val="32"/>
        </w:rPr>
      </w:pPr>
      <w:r>
        <w:rPr>
          <w:rFonts w:hint="eastAsia"/>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spacing w:line="600" w:lineRule="exact"/>
        <w:ind w:firstLine="640" w:firstLineChars="200"/>
        <w:rPr>
          <w:sz w:val="32"/>
          <w:szCs w:val="32"/>
        </w:rPr>
      </w:pPr>
      <w:r>
        <w:rPr>
          <w:rFonts w:hint="eastAsia"/>
          <w:sz w:val="32"/>
          <w:szCs w:val="32"/>
        </w:rPr>
        <w:t>按照产品质量相关法律法规的规定判定。</w:t>
      </w:r>
    </w:p>
    <w:p>
      <w:pPr>
        <w:spacing w:line="600" w:lineRule="exact"/>
        <w:ind w:firstLine="640" w:firstLineChars="200"/>
      </w:pPr>
      <w:r>
        <w:rPr>
          <w:rFonts w:hint="eastAsia"/>
          <w:sz w:val="32"/>
          <w:szCs w:val="32"/>
        </w:rPr>
        <w:t>检验中发现因样品失效或者其他原因致使检验无法进行的，检验人员应如实记录，并提供相关证明材料，报送组织监督抽查的市场监管部门。</w:t>
      </w: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50D54"/>
    <w:rsid w:val="02EF6692"/>
    <w:rsid w:val="24F50D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2</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DDZA10450</cp:lastModifiedBy>
  <dcterms:modified xsi:type="dcterms:W3CDTF">2022-06-16T02:04:32Z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